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05B" w:rsidRDefault="000A405B" w:rsidP="003618ED">
      <w:pPr>
        <w:spacing w:after="0"/>
        <w:jc w:val="both"/>
        <w:rPr>
          <w:rFonts w:ascii="Garamond" w:hAnsi="Garamond"/>
          <w:sz w:val="24"/>
          <w:szCs w:val="24"/>
        </w:rPr>
      </w:pPr>
    </w:p>
    <w:p w:rsidR="007B4770" w:rsidRDefault="007B4770" w:rsidP="002E0C26">
      <w:pPr>
        <w:spacing w:after="0"/>
        <w:rPr>
          <w:rFonts w:ascii="Book Antiqua" w:hAnsi="Book Antiqua" w:cs="Tahoma"/>
          <w:b/>
          <w:color w:val="FF0000"/>
          <w:sz w:val="20"/>
          <w:szCs w:val="20"/>
        </w:rPr>
      </w:pP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sz w:val="20"/>
          <w:szCs w:val="20"/>
          <w:vertAlign w:val="superscript"/>
        </w:rPr>
      </w:pPr>
      <w:r w:rsidRPr="000A405B">
        <w:rPr>
          <w:rFonts w:ascii="Book Antiqua" w:hAnsi="Book Antiqua" w:cs="Tahoma"/>
          <w:b/>
          <w:color w:val="FF0000"/>
          <w:sz w:val="20"/>
          <w:szCs w:val="20"/>
        </w:rPr>
        <w:t>S.S. A………, B……… ve C……..</w:t>
      </w:r>
      <w:r w:rsidR="00C2052E" w:rsidRPr="000A405B">
        <w:rPr>
          <w:rFonts w:ascii="Book Antiqua" w:hAnsi="Book Antiqua" w:cs="Tahoma"/>
          <w:b/>
          <w:color w:val="FF0000"/>
          <w:sz w:val="20"/>
          <w:szCs w:val="20"/>
        </w:rPr>
        <w:t xml:space="preserve"> MAHALLELERİ/KÖYLERİ </w:t>
      </w:r>
      <w:r w:rsidRPr="000A405B">
        <w:rPr>
          <w:rFonts w:ascii="Book Antiqua" w:hAnsi="Book Antiqua" w:cs="Tahoma"/>
          <w:b/>
          <w:color w:val="FF0000"/>
          <w:sz w:val="20"/>
          <w:szCs w:val="20"/>
        </w:rPr>
        <w:t>TARIMSAL KALKINMA KOOPERATİFİ YÖNETİM KURULU BAŞKANLIĞINDA</w:t>
      </w:r>
      <w:r w:rsidR="00C2052E" w:rsidRPr="000A405B">
        <w:rPr>
          <w:rFonts w:ascii="Book Antiqua" w:hAnsi="Book Antiqua" w:cs="Tahoma"/>
          <w:b/>
          <w:color w:val="FF0000"/>
          <w:sz w:val="20"/>
          <w:szCs w:val="20"/>
        </w:rPr>
        <w:t>N</w:t>
      </w:r>
      <w:r w:rsidR="00F274DF" w:rsidRPr="000A405B">
        <w:rPr>
          <w:rFonts w:ascii="Book Antiqua" w:hAnsi="Book Antiqua" w:cs="Tahoma"/>
          <w:b/>
          <w:sz w:val="20"/>
          <w:szCs w:val="20"/>
          <w:vertAlign w:val="superscript"/>
        </w:rPr>
        <w:t>(1)</w:t>
      </w:r>
    </w:p>
    <w:p w:rsidR="00B66DCE" w:rsidRPr="000A405B" w:rsidRDefault="00B66DCE" w:rsidP="00B66DCE">
      <w:pPr>
        <w:spacing w:after="0"/>
        <w:rPr>
          <w:rFonts w:ascii="Book Antiqua" w:hAnsi="Book Antiqua" w:cs="Tahoma"/>
          <w:b/>
          <w:sz w:val="20"/>
          <w:szCs w:val="20"/>
        </w:rPr>
      </w:pP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0A405B">
        <w:rPr>
          <w:rFonts w:ascii="Book Antiqua" w:hAnsi="Book Antiqua" w:cs="Tahoma"/>
          <w:b/>
          <w:sz w:val="20"/>
          <w:szCs w:val="20"/>
          <w:u w:val="single"/>
        </w:rPr>
        <w:t>İ  L  A  N</w:t>
      </w:r>
    </w:p>
    <w:p w:rsidR="00B66DCE" w:rsidRPr="000A405B" w:rsidRDefault="00B66DCE" w:rsidP="00B66DCE">
      <w:pPr>
        <w:spacing w:after="0"/>
        <w:rPr>
          <w:rFonts w:ascii="Book Antiqua" w:hAnsi="Book Antiqua" w:cs="Tahoma"/>
          <w:b/>
          <w:sz w:val="20"/>
          <w:szCs w:val="20"/>
          <w:u w:val="single"/>
        </w:rPr>
      </w:pPr>
    </w:p>
    <w:p w:rsidR="00B66DCE" w:rsidRPr="000A405B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S.S. A……., B…….. ve C……… Mahalleleri Tarımsal Kalkınma Kooperatifinin 2025 faaliyet yılına ait olağan genel kurul toplantısı </w:t>
      </w:r>
      <w:r w:rsidR="00455F16" w:rsidRPr="000A405B">
        <w:rPr>
          <w:rFonts w:ascii="Book Antiqua" w:hAnsi="Book Antiqua" w:cs="Tahoma"/>
          <w:sz w:val="20"/>
          <w:szCs w:val="20"/>
        </w:rPr>
        <w:t>31/03/2026 Salı g</w:t>
      </w:r>
      <w:r w:rsidRPr="000A405B">
        <w:rPr>
          <w:rFonts w:ascii="Book Antiqua" w:hAnsi="Book Antiqua" w:cs="Tahoma"/>
          <w:sz w:val="20"/>
          <w:szCs w:val="20"/>
        </w:rPr>
        <w:t xml:space="preserve">ünü saat 10:00 da A……. Mahallesi Kooperatif İşletme Binası Bafra/Samsun </w:t>
      </w:r>
      <w:r w:rsidRPr="000A405B">
        <w:rPr>
          <w:rFonts w:ascii="Book Antiqua" w:hAnsi="Book Antiqua" w:cs="Tahoma"/>
          <w:color w:val="FF0000"/>
          <w:sz w:val="20"/>
          <w:szCs w:val="20"/>
        </w:rPr>
        <w:t>adresinde</w:t>
      </w:r>
      <w:r w:rsidR="00F274DF" w:rsidRPr="000A405B">
        <w:rPr>
          <w:rFonts w:ascii="Book Antiqua" w:hAnsi="Book Antiqua" w:cs="Tahoma"/>
          <w:sz w:val="20"/>
          <w:szCs w:val="20"/>
          <w:vertAlign w:val="superscript"/>
        </w:rPr>
        <w:t>(2)</w:t>
      </w:r>
      <w:r w:rsidRPr="000A405B">
        <w:rPr>
          <w:rFonts w:ascii="Book Antiqua" w:hAnsi="Book Antiqua" w:cs="Tahoma"/>
          <w:sz w:val="20"/>
          <w:szCs w:val="20"/>
        </w:rPr>
        <w:t xml:space="preserve"> yapılacaktır.</w:t>
      </w:r>
    </w:p>
    <w:p w:rsidR="00C2052E" w:rsidRPr="000A405B" w:rsidRDefault="00C2052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66DCE" w:rsidRPr="000A405B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Çoğunluk temin edilemediği taktirde ikinci toplantı </w:t>
      </w:r>
      <w:r w:rsidR="00455F16" w:rsidRPr="000A405B">
        <w:rPr>
          <w:rFonts w:ascii="Book Antiqua" w:hAnsi="Book Antiqua" w:cs="Tahoma"/>
          <w:color w:val="FF0000"/>
          <w:sz w:val="20"/>
          <w:szCs w:val="20"/>
        </w:rPr>
        <w:t>08/</w:t>
      </w:r>
      <w:r w:rsidRPr="000A405B">
        <w:rPr>
          <w:rFonts w:ascii="Book Antiqua" w:hAnsi="Book Antiqua" w:cs="Tahoma"/>
          <w:color w:val="FF0000"/>
          <w:sz w:val="20"/>
          <w:szCs w:val="20"/>
        </w:rPr>
        <w:t>04/2026</w:t>
      </w:r>
      <w:r w:rsidR="000979B6" w:rsidRPr="000A405B">
        <w:rPr>
          <w:rFonts w:ascii="Book Antiqua" w:hAnsi="Book Antiqua" w:cs="Tahoma"/>
          <w:color w:val="000000" w:themeColor="text1"/>
          <w:sz w:val="20"/>
          <w:szCs w:val="20"/>
          <w:vertAlign w:val="superscript"/>
        </w:rPr>
        <w:t>(3)</w:t>
      </w:r>
      <w:r w:rsidRPr="000A405B">
        <w:rPr>
          <w:rFonts w:ascii="Book Antiqua" w:hAnsi="Book Antiqua" w:cs="Tahoma"/>
          <w:color w:val="FF0000"/>
          <w:sz w:val="20"/>
          <w:szCs w:val="20"/>
        </w:rPr>
        <w:t xml:space="preserve"> </w:t>
      </w:r>
      <w:r w:rsidRPr="000A405B">
        <w:rPr>
          <w:rFonts w:ascii="Book Antiqua" w:hAnsi="Book Antiqua" w:cs="Tahoma"/>
          <w:sz w:val="20"/>
          <w:szCs w:val="20"/>
        </w:rPr>
        <w:t>Çarşamba günü aynı yer ve saatte çoğunluk aranmaksızın yapılacaktır.</w:t>
      </w:r>
    </w:p>
    <w:p w:rsidR="00C2052E" w:rsidRPr="000A405B" w:rsidRDefault="00C2052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66DCE" w:rsidRPr="000A405B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Gündem aşağıya çıkarılmış olup, bütün ortakların hazır bulunmaları rica olunur. </w:t>
      </w:r>
    </w:p>
    <w:p w:rsidR="00B66DCE" w:rsidRPr="000A405B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0979B6" w:rsidRPr="000A405B" w:rsidRDefault="000979B6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79B6" w:rsidRPr="000A405B" w:rsidTr="00B53970">
        <w:tc>
          <w:tcPr>
            <w:tcW w:w="3020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………………………….</w:t>
            </w:r>
          </w:p>
        </w:tc>
        <w:tc>
          <w:tcPr>
            <w:tcW w:w="3021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………………………….</w:t>
            </w:r>
          </w:p>
        </w:tc>
        <w:tc>
          <w:tcPr>
            <w:tcW w:w="3021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………………………….</w:t>
            </w:r>
          </w:p>
        </w:tc>
      </w:tr>
      <w:tr w:rsidR="000979B6" w:rsidRPr="000A405B" w:rsidTr="00B53970">
        <w:tc>
          <w:tcPr>
            <w:tcW w:w="3020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Muhasip Üye</w:t>
            </w:r>
          </w:p>
        </w:tc>
        <w:tc>
          <w:tcPr>
            <w:tcW w:w="3021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Yönetim Kurulu Başkan V.</w:t>
            </w:r>
          </w:p>
        </w:tc>
        <w:tc>
          <w:tcPr>
            <w:tcW w:w="3021" w:type="dxa"/>
          </w:tcPr>
          <w:p w:rsidR="000979B6" w:rsidRPr="000A405B" w:rsidRDefault="000979B6" w:rsidP="00B53970">
            <w:pPr>
              <w:jc w:val="center"/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</w:rPr>
              <w:t>Yönetim Kurulu Başkanı</w:t>
            </w:r>
          </w:p>
        </w:tc>
      </w:tr>
    </w:tbl>
    <w:p w:rsidR="00B66DCE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7B4770" w:rsidRPr="000A405B" w:rsidRDefault="007B4770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color w:val="FF0000"/>
          <w:sz w:val="20"/>
          <w:szCs w:val="20"/>
          <w:u w:val="single"/>
          <w:vertAlign w:val="superscript"/>
        </w:rPr>
      </w:pPr>
      <w:r w:rsidRPr="000A405B">
        <w:rPr>
          <w:rFonts w:ascii="Book Antiqua" w:hAnsi="Book Antiqua" w:cs="Tahoma"/>
          <w:b/>
          <w:color w:val="FF0000"/>
          <w:sz w:val="20"/>
          <w:szCs w:val="20"/>
          <w:u w:val="single"/>
        </w:rPr>
        <w:t>G  Ü  N  D  E  M</w:t>
      </w:r>
      <w:r w:rsidR="00B53970" w:rsidRPr="000A405B">
        <w:rPr>
          <w:rFonts w:ascii="Book Antiqua" w:hAnsi="Book Antiqua" w:cs="Tahoma"/>
          <w:b/>
          <w:color w:val="000000" w:themeColor="text1"/>
          <w:sz w:val="20"/>
          <w:szCs w:val="20"/>
          <w:u w:val="single"/>
          <w:vertAlign w:val="superscript"/>
        </w:rPr>
        <w:t>(4)</w:t>
      </w: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sz w:val="20"/>
          <w:szCs w:val="20"/>
        </w:rPr>
      </w:pP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Açılış ve yoklama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Başkanlık Divanının seçimi ve saygı duruşu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2025 faaliyet yılına ait Yönetim ve Denetim Kurulu Raporlarını okunması görüşülmesi.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2025 faaliyet yılına ait Bilanço ve Gelir-Gider tablolarının okunması, müzakeresi ve kabulü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Yönetim ve Denetim Kurulu üyelerinin ibrası.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Yönetim ve denetim kurulu üyelerine verilecek yolluk, huzur hakkı ve ücretlerin tespiti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2026 yılı tahmini bütçesinin görüşülerek karara bağlanması.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Yönetim ve denetim kurulu asil ve yedek üyeleri ile üst birlik asil ve yedek temsilcisinin seçimi ve görev sürelerinin tespiti. 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>Dilek ve temenniler.</w:t>
      </w:r>
    </w:p>
    <w:p w:rsidR="00B66DCE" w:rsidRPr="000A405B" w:rsidRDefault="00B66DCE" w:rsidP="00B66DCE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Kapanış. </w:t>
      </w:r>
    </w:p>
    <w:p w:rsidR="00B66DCE" w:rsidRPr="000A405B" w:rsidRDefault="00B66DCE" w:rsidP="000A405B">
      <w:pPr>
        <w:spacing w:after="0"/>
        <w:rPr>
          <w:rFonts w:ascii="Book Antiqua" w:hAnsi="Book Antiqua" w:cs="Tahoma"/>
          <w:b/>
          <w:sz w:val="20"/>
          <w:szCs w:val="20"/>
          <w:u w:val="single"/>
        </w:rPr>
      </w:pP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sz w:val="20"/>
          <w:szCs w:val="20"/>
          <w:u w:val="single"/>
        </w:rPr>
      </w:pPr>
      <w:r w:rsidRPr="000A405B">
        <w:rPr>
          <w:rFonts w:ascii="Book Antiqua" w:hAnsi="Book Antiqua" w:cs="Tahoma"/>
          <w:b/>
          <w:sz w:val="20"/>
          <w:szCs w:val="20"/>
          <w:u w:val="single"/>
        </w:rPr>
        <w:t>İLAN TUTANAĞI</w:t>
      </w:r>
    </w:p>
    <w:p w:rsidR="00B66DCE" w:rsidRPr="000A405B" w:rsidRDefault="00B66DCE" w:rsidP="00B66DCE">
      <w:pPr>
        <w:spacing w:after="0"/>
        <w:jc w:val="center"/>
        <w:rPr>
          <w:rFonts w:ascii="Book Antiqua" w:hAnsi="Book Antiqua" w:cs="Tahoma"/>
          <w:b/>
          <w:sz w:val="20"/>
          <w:szCs w:val="20"/>
          <w:u w:val="single"/>
        </w:rPr>
      </w:pPr>
    </w:p>
    <w:p w:rsidR="00B66DCE" w:rsidRPr="000A405B" w:rsidRDefault="00B66DCE" w:rsidP="00B66DCE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0A405B">
        <w:rPr>
          <w:rFonts w:ascii="Book Antiqua" w:hAnsi="Book Antiqua" w:cs="Tahoma"/>
          <w:sz w:val="20"/>
          <w:szCs w:val="20"/>
        </w:rPr>
        <w:t xml:space="preserve">S.S. A……., B…….. ve C……… Mahalleleri Tarımsal Kalkınma Kooperatifinin 31/03/2026 tarihinde yapacağı olağan genel kurul toplantısına ait yukarıdaki ilan ve gündem </w:t>
      </w:r>
      <w:r w:rsidR="007A145B" w:rsidRPr="000A405B">
        <w:rPr>
          <w:rFonts w:ascii="Book Antiqua" w:hAnsi="Book Antiqua" w:cs="Tahoma"/>
          <w:color w:val="FF0000"/>
          <w:sz w:val="20"/>
          <w:szCs w:val="20"/>
        </w:rPr>
        <w:t>28/02</w:t>
      </w:r>
      <w:r w:rsidRPr="000A405B">
        <w:rPr>
          <w:rFonts w:ascii="Book Antiqua" w:hAnsi="Book Antiqua" w:cs="Tahoma"/>
          <w:color w:val="FF0000"/>
          <w:sz w:val="20"/>
          <w:szCs w:val="20"/>
        </w:rPr>
        <w:t>/2026 - 31/03/2026</w:t>
      </w:r>
      <w:r w:rsidR="00AE0AF6" w:rsidRPr="000A405B">
        <w:rPr>
          <w:rFonts w:ascii="Book Antiqua" w:hAnsi="Book Antiqua" w:cs="Tahoma"/>
          <w:sz w:val="20"/>
          <w:szCs w:val="20"/>
          <w:vertAlign w:val="superscript"/>
        </w:rPr>
        <w:t>(5)</w:t>
      </w:r>
      <w:r w:rsidRPr="000A405B">
        <w:rPr>
          <w:rFonts w:ascii="Book Antiqua" w:hAnsi="Book Antiqua" w:cs="Tahoma"/>
          <w:sz w:val="20"/>
          <w:szCs w:val="20"/>
        </w:rPr>
        <w:t xml:space="preserve"> tarihleri arasında tüm ortakların görebileceği şekilde mahalle ve kooperatif binası ilan yerlerine asılmak ve cami hoparlöründen anons edilmek suretiyle ortaklara duyurulduğu tasdik olunur.</w:t>
      </w:r>
    </w:p>
    <w:p w:rsidR="00C2052E" w:rsidRPr="000A405B" w:rsidRDefault="00C2052E" w:rsidP="00B66DCE">
      <w:pPr>
        <w:spacing w:after="0"/>
        <w:rPr>
          <w:rFonts w:ascii="Book Antiqua" w:hAnsi="Book Antiqua" w:cs="Tahoma"/>
          <w:sz w:val="20"/>
          <w:szCs w:val="2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544"/>
        <w:gridCol w:w="2693"/>
        <w:gridCol w:w="2943"/>
      </w:tblGrid>
      <w:tr w:rsidR="00B66DCE" w:rsidRPr="000A405B" w:rsidTr="00B66DCE">
        <w:tc>
          <w:tcPr>
            <w:tcW w:w="3544" w:type="dxa"/>
            <w:shd w:val="clear" w:color="auto" w:fill="auto"/>
          </w:tcPr>
          <w:p w:rsidR="00B66DCE" w:rsidRPr="000A405B" w:rsidRDefault="00B66DCE" w:rsidP="00B66DCE">
            <w:pPr>
              <w:spacing w:after="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  <w:vertAlign w:val="superscript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………………….</w:t>
            </w:r>
            <w:r w:rsidR="000A405B"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2693" w:type="dxa"/>
            <w:shd w:val="clear" w:color="auto" w:fill="auto"/>
          </w:tcPr>
          <w:p w:rsidR="00B66DCE" w:rsidRPr="000A405B" w:rsidRDefault="00B66DCE" w:rsidP="00B66DCE">
            <w:pPr>
              <w:spacing w:after="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  <w:vertAlign w:val="superscript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………………….</w:t>
            </w:r>
            <w:r w:rsidR="000A405B"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  <w:vertAlign w:val="superscript"/>
              </w:rPr>
              <w:t>(6)</w:t>
            </w:r>
          </w:p>
        </w:tc>
        <w:tc>
          <w:tcPr>
            <w:tcW w:w="2943" w:type="dxa"/>
            <w:shd w:val="clear" w:color="auto" w:fill="auto"/>
          </w:tcPr>
          <w:p w:rsidR="00B66DCE" w:rsidRPr="000A405B" w:rsidRDefault="00B66DCE" w:rsidP="00B66DCE">
            <w:pPr>
              <w:spacing w:after="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  <w:vertAlign w:val="superscript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………………….</w:t>
            </w:r>
            <w:r w:rsidR="000A405B" w:rsidRPr="000A405B">
              <w:rPr>
                <w:rFonts w:ascii="Book Antiqua" w:hAnsi="Book Antiqua" w:cs="Tahoma"/>
                <w:color w:val="000000" w:themeColor="text1"/>
                <w:sz w:val="20"/>
                <w:szCs w:val="20"/>
                <w:vertAlign w:val="superscript"/>
              </w:rPr>
              <w:t>(6)</w:t>
            </w:r>
          </w:p>
        </w:tc>
      </w:tr>
      <w:tr w:rsidR="00B66DCE" w:rsidRPr="000A405B" w:rsidTr="00B66DCE">
        <w:tc>
          <w:tcPr>
            <w:tcW w:w="3544" w:type="dxa"/>
            <w:shd w:val="clear" w:color="auto" w:fill="auto"/>
          </w:tcPr>
          <w:p w:rsidR="00B66DCE" w:rsidRPr="000A405B" w:rsidRDefault="00B66DCE" w:rsidP="00B66DCE">
            <w:pPr>
              <w:spacing w:after="0"/>
              <w:ind w:left="72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A…… Mahallesi Muhtarı</w:t>
            </w:r>
          </w:p>
        </w:tc>
        <w:tc>
          <w:tcPr>
            <w:tcW w:w="2693" w:type="dxa"/>
            <w:shd w:val="clear" w:color="auto" w:fill="auto"/>
          </w:tcPr>
          <w:p w:rsidR="00B66DCE" w:rsidRPr="000A405B" w:rsidRDefault="00B66DCE" w:rsidP="00B66DCE">
            <w:pPr>
              <w:spacing w:after="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B…… Mahallesi Muhtarı</w:t>
            </w:r>
          </w:p>
        </w:tc>
        <w:tc>
          <w:tcPr>
            <w:tcW w:w="2943" w:type="dxa"/>
            <w:shd w:val="clear" w:color="auto" w:fill="auto"/>
          </w:tcPr>
          <w:p w:rsidR="00B66DCE" w:rsidRPr="000A405B" w:rsidRDefault="00B66DCE" w:rsidP="00B66DCE">
            <w:pPr>
              <w:spacing w:after="0"/>
              <w:jc w:val="center"/>
              <w:rPr>
                <w:rFonts w:ascii="Book Antiqua" w:hAnsi="Book Antiqua" w:cs="Tahoma"/>
                <w:color w:val="FF0000"/>
                <w:sz w:val="20"/>
                <w:szCs w:val="20"/>
              </w:rPr>
            </w:pPr>
            <w:r w:rsidRPr="000A405B">
              <w:rPr>
                <w:rFonts w:ascii="Book Antiqua" w:hAnsi="Book Antiqua" w:cs="Tahoma"/>
                <w:color w:val="FF0000"/>
                <w:sz w:val="20"/>
                <w:szCs w:val="20"/>
              </w:rPr>
              <w:t>C…… Mahallesi Muhtarı</w:t>
            </w:r>
          </w:p>
        </w:tc>
      </w:tr>
    </w:tbl>
    <w:p w:rsidR="00B53970" w:rsidRDefault="00B53970" w:rsidP="003618ED">
      <w:pPr>
        <w:spacing w:after="0"/>
        <w:jc w:val="both"/>
        <w:rPr>
          <w:rFonts w:ascii="Garamond" w:hAnsi="Garamond"/>
          <w:sz w:val="24"/>
          <w:szCs w:val="24"/>
        </w:rPr>
      </w:pPr>
    </w:p>
    <w:p w:rsidR="007B4770" w:rsidRDefault="007B4770" w:rsidP="003618ED">
      <w:pPr>
        <w:spacing w:after="0"/>
        <w:jc w:val="both"/>
        <w:rPr>
          <w:rFonts w:ascii="Garamond" w:hAnsi="Garamond"/>
          <w:sz w:val="24"/>
          <w:szCs w:val="24"/>
        </w:rPr>
      </w:pPr>
    </w:p>
    <w:p w:rsidR="004B0E57" w:rsidRPr="000A405B" w:rsidRDefault="00F274DF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(1)Kooperatifin unvanı tescil edilmiş haline uygun tam ve eksiksiz yazılmalıdır.</w:t>
      </w:r>
    </w:p>
    <w:p w:rsidR="00F274DF" w:rsidRPr="000A405B" w:rsidRDefault="00AE0AF6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(2)</w:t>
      </w:r>
      <w:r w:rsidR="00455F16" w:rsidRPr="000A405B">
        <w:rPr>
          <w:rFonts w:ascii="Book Antiqua" w:hAnsi="Book Antiqua"/>
          <w:i/>
          <w:sz w:val="18"/>
          <w:szCs w:val="18"/>
        </w:rPr>
        <w:t xml:space="preserve"> </w:t>
      </w:r>
      <w:r w:rsidR="00F274DF" w:rsidRPr="000A405B">
        <w:rPr>
          <w:rFonts w:ascii="Book Antiqua" w:hAnsi="Book Antiqua"/>
          <w:i/>
          <w:sz w:val="18"/>
          <w:szCs w:val="18"/>
        </w:rPr>
        <w:t>Genel kurul öncelikle kooperatifin yönetim merkezinde, mümkün olmaması halinde kooperatifin çalışma bölgesi içinde yer alan yerleşim yerlerinden herhangi birinde yapılmalı ve ilan bu husus dikkate alınarak hazırlanmalıdır.</w:t>
      </w:r>
    </w:p>
    <w:p w:rsidR="00455F16" w:rsidRPr="000A405B" w:rsidRDefault="00455F16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(3)</w:t>
      </w:r>
      <w:r w:rsidR="000979B6" w:rsidRPr="000A405B">
        <w:rPr>
          <w:rFonts w:ascii="Book Antiqua" w:hAnsi="Book Antiqua"/>
          <w:i/>
          <w:sz w:val="18"/>
          <w:szCs w:val="18"/>
        </w:rPr>
        <w:t>Genel Kurul ilanında çoğunluğun sağlanamaması halinde ikinci toplantının tarihi de belirtilir. Bu süre (7) günden az (30) günden fazla olamaz. Sürelerin hesabında duyuru ve toplantı günleri hesaba katılmaz.</w:t>
      </w:r>
    </w:p>
    <w:p w:rsidR="000979B6" w:rsidRPr="000A405B" w:rsidRDefault="00AE0AF6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(4)</w:t>
      </w:r>
      <w:r w:rsidR="00B53970" w:rsidRPr="000A405B">
        <w:rPr>
          <w:rFonts w:ascii="Book Antiqua" w:hAnsi="Book Antiqua"/>
          <w:i/>
          <w:sz w:val="18"/>
          <w:szCs w:val="18"/>
        </w:rPr>
        <w:t xml:space="preserve">Her olağan genel kurulda </w:t>
      </w:r>
      <w:r w:rsidRPr="000A405B">
        <w:rPr>
          <w:rFonts w:ascii="Book Antiqua" w:hAnsi="Book Antiqua"/>
          <w:i/>
          <w:sz w:val="18"/>
          <w:szCs w:val="18"/>
        </w:rPr>
        <w:t>görüşülmesi gereken gündem maddelerine yer verilmiştir. Kooperatifler kendi özel durumlarına uygun ve genel kurulda görüşülerek karara bağlanması gereken diğer konuları ayrıca gündemlerine almalıdır. (Örneğin; intibak, madde değişikliği, bina ve arsa alım satımı, kiralama, birliğe girme veya ayrılma, fesih, kredi kullanımı vb.)</w:t>
      </w:r>
    </w:p>
    <w:p w:rsidR="00AE0AF6" w:rsidRPr="000A405B" w:rsidRDefault="00AE0AF6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(5)</w:t>
      </w:r>
      <w:r w:rsidR="007A145B" w:rsidRPr="000A405B">
        <w:rPr>
          <w:rFonts w:ascii="Book Antiqua" w:hAnsi="Book Antiqua"/>
          <w:i/>
          <w:sz w:val="18"/>
          <w:szCs w:val="18"/>
        </w:rPr>
        <w:t xml:space="preserve">Yeni </w:t>
      </w:r>
      <w:proofErr w:type="spellStart"/>
      <w:r w:rsidR="007A145B" w:rsidRPr="000A405B">
        <w:rPr>
          <w:rFonts w:ascii="Book Antiqua" w:hAnsi="Book Antiqua"/>
          <w:i/>
          <w:sz w:val="18"/>
          <w:szCs w:val="18"/>
        </w:rPr>
        <w:t>anasözleşmelerdeki</w:t>
      </w:r>
      <w:proofErr w:type="spellEnd"/>
      <w:r w:rsidR="007A145B" w:rsidRPr="000A405B">
        <w:rPr>
          <w:rFonts w:ascii="Book Antiqua" w:hAnsi="Book Antiqua"/>
          <w:i/>
          <w:sz w:val="18"/>
          <w:szCs w:val="18"/>
        </w:rPr>
        <w:t xml:space="preserve"> hükme göre genel kurul tarihinden (30) gün önce genel kurul çağrısının yapılması gerekmektedir. </w:t>
      </w:r>
      <w:r w:rsidR="000A405B" w:rsidRPr="000A405B">
        <w:rPr>
          <w:rFonts w:ascii="Book Antiqua" w:hAnsi="Book Antiqua"/>
          <w:i/>
          <w:sz w:val="18"/>
          <w:szCs w:val="18"/>
        </w:rPr>
        <w:t>Örnekte olduğu gibi genel kurul tarihi 31.03.2026 ise ilana en geç 28.02.2026 tarihinde çıkılmış olması gerekmektedir.</w:t>
      </w:r>
    </w:p>
    <w:p w:rsidR="000A405B" w:rsidRPr="000A405B" w:rsidRDefault="000A405B" w:rsidP="007B4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jc w:val="both"/>
        <w:rPr>
          <w:rFonts w:ascii="Book Antiqua" w:hAnsi="Book Antiqua"/>
          <w:i/>
          <w:sz w:val="18"/>
          <w:szCs w:val="18"/>
        </w:rPr>
      </w:pPr>
      <w:r w:rsidRPr="000A405B">
        <w:rPr>
          <w:rFonts w:ascii="Book Antiqua" w:hAnsi="Book Antiqua"/>
          <w:i/>
          <w:sz w:val="18"/>
          <w:szCs w:val="18"/>
        </w:rPr>
        <w:t>(6)İlan tutanağı kooperatifin çalışma bölgesi içinde yer alan tüm mahalle muhtarlarınca imzalanmalıdır.</w:t>
      </w:r>
    </w:p>
    <w:p w:rsidR="004B0E57" w:rsidRPr="00A42FA9" w:rsidRDefault="004B0E57" w:rsidP="003618ED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sectPr w:rsidR="004B0E57" w:rsidRPr="00A42FA9" w:rsidSect="000A405B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65D93"/>
    <w:multiLevelType w:val="hybridMultilevel"/>
    <w:tmpl w:val="DA208C78"/>
    <w:lvl w:ilvl="0" w:tplc="97BC86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F5"/>
    <w:rsid w:val="000979B6"/>
    <w:rsid w:val="000A405B"/>
    <w:rsid w:val="000F7499"/>
    <w:rsid w:val="002E0C26"/>
    <w:rsid w:val="003618ED"/>
    <w:rsid w:val="00373F8A"/>
    <w:rsid w:val="003C7099"/>
    <w:rsid w:val="00446ADD"/>
    <w:rsid w:val="00455F16"/>
    <w:rsid w:val="00485F74"/>
    <w:rsid w:val="004B0E57"/>
    <w:rsid w:val="00505D78"/>
    <w:rsid w:val="00676601"/>
    <w:rsid w:val="006D5E61"/>
    <w:rsid w:val="0070683E"/>
    <w:rsid w:val="007305F5"/>
    <w:rsid w:val="007A145B"/>
    <w:rsid w:val="007B4770"/>
    <w:rsid w:val="008F5167"/>
    <w:rsid w:val="009C12F0"/>
    <w:rsid w:val="00A42FA9"/>
    <w:rsid w:val="00A4743B"/>
    <w:rsid w:val="00AE0AF6"/>
    <w:rsid w:val="00B53970"/>
    <w:rsid w:val="00B66DCE"/>
    <w:rsid w:val="00C2052E"/>
    <w:rsid w:val="00EB6952"/>
    <w:rsid w:val="00F274DF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1B8E"/>
  <w15:chartTrackingRefBased/>
  <w15:docId w15:val="{D3162B7E-F637-4845-B864-FB81FB77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709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5E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6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60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2052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052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2052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052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2052E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F274DF"/>
    <w:rPr>
      <w:color w:val="808080"/>
    </w:rPr>
  </w:style>
  <w:style w:type="table" w:styleId="TabloKlavuzu">
    <w:name w:val="Table Grid"/>
    <w:basedOn w:val="NormalTablo"/>
    <w:uiPriority w:val="39"/>
    <w:rsid w:val="0009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c09b2dac11fa3bfbc6462aef1a55305">
  <xsd:schema xmlns:xsd="http://www.w3.org/2001/XMLSchema" xmlns:xs="http://www.w3.org/2001/XMLSchema" xmlns:p="http://schemas.microsoft.com/office/2006/metadata/properties" xmlns:ns1="http://schemas.microsoft.com/sharepoint/v3" xmlns:ns2="e954c94b-bcf3-4e4c-b634-2f53cf15a115" targetNamespace="http://schemas.microsoft.com/office/2006/metadata/properties" ma:root="true" ma:fieldsID="8ef15c47380a5eb01fd5b0c900eb488f" ns1:_="" ns2:_="">
    <xsd:import namespace="http://schemas.microsoft.com/sharepoint/v3"/>
    <xsd:import namespace="e954c94b-bcf3-4e4c-b634-2f53cf15a11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94b-bcf3-4e4c-b634-2f53cf15a11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954c94b-bcf3-4e4c-b634-2f53cf15a11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0FEF60-7AD2-4395-AC6D-C47B8818AF80}"/>
</file>

<file path=customXml/itemProps2.xml><?xml version="1.0" encoding="utf-8"?>
<ds:datastoreItem xmlns:ds="http://schemas.openxmlformats.org/officeDocument/2006/customXml" ds:itemID="{B1351125-90FA-4676-9639-81DA17FFD116}"/>
</file>

<file path=customXml/itemProps3.xml><?xml version="1.0" encoding="utf-8"?>
<ds:datastoreItem xmlns:ds="http://schemas.openxmlformats.org/officeDocument/2006/customXml" ds:itemID="{7BD87856-3D03-433C-A37F-40CE0946E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ŞEN</dc:creator>
  <cp:keywords/>
  <dc:description/>
  <cp:lastModifiedBy>Mustafa ŞEN</cp:lastModifiedBy>
  <cp:revision>7</cp:revision>
  <cp:lastPrinted>2026-03-25T14:10:00Z</cp:lastPrinted>
  <dcterms:created xsi:type="dcterms:W3CDTF">2026-03-25T11:40:00Z</dcterms:created>
  <dcterms:modified xsi:type="dcterms:W3CDTF">2026-03-27T05:54:00Z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